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политика организации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«Информационная политика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 риском</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в  зависимости  от  особенностей  влияния  на  проект</w:t>
            </w:r>
          </w:p>
          <w:p>
            <w:pPr>
              <w:jc w:val="both"/>
              <w:spacing w:after="0" w:line="240" w:lineRule="auto"/>
              <w:rPr>
                <w:sz w:val="24"/>
                <w:szCs w:val="24"/>
              </w:rPr>
            </w:pPr>
            <w:r>
              <w:rPr>
                <w:rFonts w:ascii="Times New Roman" w:hAnsi="Times New Roman" w:cs="Times New Roman"/>
                <w:color w:val="#000000"/>
                <w:sz w:val="24"/>
                <w:szCs w:val="24"/>
              </w:rPr>
              <w:t> (чистые  риски,  возможности,  бизнес-риски).  Ключевые  компетенции</w:t>
            </w:r>
          </w:p>
          <w:p>
            <w:pPr>
              <w:jc w:val="both"/>
              <w:spacing w:after="0" w:line="240" w:lineRule="auto"/>
              <w:rPr>
                <w:sz w:val="24"/>
                <w:szCs w:val="24"/>
              </w:rPr>
            </w:pPr>
            <w:r>
              <w:rPr>
                <w:rFonts w:ascii="Times New Roman" w:hAnsi="Times New Roman" w:cs="Times New Roman"/>
                <w:color w:val="#000000"/>
                <w:sz w:val="24"/>
                <w:szCs w:val="24"/>
              </w:rPr>
              <w:t> руководителя  проекта  по  управлению  рисками  проекта.  Методы  получения</w:t>
            </w:r>
          </w:p>
          <w:p>
            <w:pPr>
              <w:jc w:val="both"/>
              <w:spacing w:after="0" w:line="240" w:lineRule="auto"/>
              <w:rPr>
                <w:sz w:val="24"/>
                <w:szCs w:val="24"/>
              </w:rPr>
            </w:pPr>
            <w:r>
              <w:rPr>
                <w:rFonts w:ascii="Times New Roman" w:hAnsi="Times New Roman" w:cs="Times New Roman"/>
                <w:color w:val="#000000"/>
                <w:sz w:val="24"/>
                <w:szCs w:val="24"/>
              </w:rPr>
              <w:t> данных о рисках.</w:t>
            </w:r>
          </w:p>
          <w:p>
            <w:pPr>
              <w:jc w:val="both"/>
              <w:spacing w:after="0" w:line="240" w:lineRule="auto"/>
              <w:rPr>
                <w:sz w:val="24"/>
                <w:szCs w:val="24"/>
              </w:rPr>
            </w:pPr>
            <w:r>
              <w:rPr>
                <w:rFonts w:ascii="Times New Roman" w:hAnsi="Times New Roman" w:cs="Times New Roman"/>
                <w:color w:val="#000000"/>
                <w:sz w:val="24"/>
                <w:szCs w:val="24"/>
              </w:rPr>
              <w:t> Понятие ключевой компетенции руководителя проекта по управлению</w:t>
            </w:r>
          </w:p>
          <w:p>
            <w:pPr>
              <w:jc w:val="both"/>
              <w:spacing w:after="0" w:line="240" w:lineRule="auto"/>
              <w:rPr>
                <w:sz w:val="24"/>
                <w:szCs w:val="24"/>
              </w:rPr>
            </w:pPr>
            <w:r>
              <w:rPr>
                <w:rFonts w:ascii="Times New Roman" w:hAnsi="Times New Roman" w:cs="Times New Roman"/>
                <w:color w:val="#000000"/>
                <w:sz w:val="24"/>
                <w:szCs w:val="24"/>
              </w:rPr>
              <w:t> рисками  проекта,  необходимая  для  повышения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положительных  составляющих  и  снижения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негативных  составляющих  рисков.  Основные  риски  на  этапе</w:t>
            </w:r>
          </w:p>
          <w:p>
            <w:pPr>
              <w:jc w:val="both"/>
              <w:spacing w:after="0" w:line="240" w:lineRule="auto"/>
              <w:rPr>
                <w:sz w:val="24"/>
                <w:szCs w:val="24"/>
              </w:rPr>
            </w:pPr>
            <w:r>
              <w:rPr>
                <w:rFonts w:ascii="Times New Roman" w:hAnsi="Times New Roman" w:cs="Times New Roman"/>
                <w:color w:val="#000000"/>
                <w:sz w:val="24"/>
                <w:szCs w:val="24"/>
              </w:rPr>
              <w:t> создания  объекта.  Разделение  рисков  на  известные  и  неизвестные.  Методы</w:t>
            </w:r>
          </w:p>
          <w:p>
            <w:pPr>
              <w:jc w:val="both"/>
              <w:spacing w:after="0" w:line="240" w:lineRule="auto"/>
              <w:rPr>
                <w:sz w:val="24"/>
                <w:szCs w:val="24"/>
              </w:rPr>
            </w:pPr>
            <w:r>
              <w:rPr>
                <w:rFonts w:ascii="Times New Roman" w:hAnsi="Times New Roman" w:cs="Times New Roman"/>
                <w:color w:val="#000000"/>
                <w:sz w:val="24"/>
                <w:szCs w:val="24"/>
              </w:rPr>
              <w:t> получения  данных  о  рисках  (мозговой  штурм,  метод  Дельфи,</w:t>
            </w:r>
          </w:p>
          <w:p>
            <w:pPr>
              <w:jc w:val="both"/>
              <w:spacing w:after="0" w:line="240" w:lineRule="auto"/>
              <w:rPr>
                <w:sz w:val="24"/>
                <w:szCs w:val="24"/>
              </w:rPr>
            </w:pPr>
            <w:r>
              <w:rPr>
                <w:rFonts w:ascii="Times New Roman" w:hAnsi="Times New Roman" w:cs="Times New Roman"/>
                <w:color w:val="#000000"/>
                <w:sz w:val="24"/>
                <w:szCs w:val="24"/>
              </w:rPr>
              <w:t> интервьюирование  участников  проекта,  SWOT-  анализ).  Понятие  миграции</w:t>
            </w:r>
          </w:p>
          <w:p>
            <w:pPr>
              <w:jc w:val="both"/>
              <w:spacing w:after="0" w:line="240" w:lineRule="auto"/>
              <w:rPr>
                <w:sz w:val="24"/>
                <w:szCs w:val="24"/>
              </w:rPr>
            </w:pPr>
            <w:r>
              <w:rPr>
                <w:rFonts w:ascii="Times New Roman" w:hAnsi="Times New Roman" w:cs="Times New Roman"/>
                <w:color w:val="#000000"/>
                <w:sz w:val="24"/>
                <w:szCs w:val="24"/>
              </w:rPr>
              <w:t> рисков. Применения метода Дельфи для идентификации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left"/>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left"/>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left"/>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left"/>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left"/>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left"/>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left"/>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left"/>
              <w:spacing w:after="0" w:line="240" w:lineRule="auto"/>
              <w:rPr>
                <w:sz w:val="24"/>
                <w:szCs w:val="24"/>
              </w:rPr>
            </w:pPr>
            <w:r>
              <w:rPr>
                <w:rFonts w:ascii="Times New Roman" w:hAnsi="Times New Roman" w:cs="Times New Roman"/>
                <w:color w:val="#000000"/>
                <w:sz w:val="24"/>
                <w:szCs w:val="24"/>
              </w:rPr>
              <w:t> Карло).</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left"/>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left"/>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left"/>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left"/>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left"/>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left"/>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left"/>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left"/>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left"/>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left"/>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left"/>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left"/>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left"/>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left"/>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left"/>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left"/>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2024-2025_ФГОС3++2024_Бак-ОЗФО-Мен_(ЭиУП)(24)_plx_Информационная политика организации</dc:title>
  <dc:creator>FastReport.NET</dc:creator>
</cp:coreProperties>
</file>